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8" w:tblpY="1122"/>
        <w:tblW w:w="0" w:type="auto"/>
        <w:tblLayout w:type="fixed"/>
        <w:tblLook w:val="04A0"/>
      </w:tblPr>
      <w:tblGrid>
        <w:gridCol w:w="2876"/>
        <w:gridCol w:w="3394"/>
        <w:gridCol w:w="2370"/>
      </w:tblGrid>
      <w:tr w:rsidR="00AD10A2" w:rsidTr="00CB73A4">
        <w:trPr>
          <w:trHeight w:hRule="exact" w:val="712"/>
        </w:trPr>
        <w:tc>
          <w:tcPr>
            <w:tcW w:w="62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54" w:lineRule="exact"/>
              <w:ind w:left="278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63" w:lineRule="exact"/>
              <w:ind w:left="77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72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567" w:lineRule="exact"/>
              <w:ind w:left="26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안정성비율(%)</w:t>
            </w: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98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유동비율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235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134.10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26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자기자본구성비율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434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47.60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98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부채비율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235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110.30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120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26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수익성비율(%)</w:t>
            </w: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44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매출액순이익율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833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26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자기자본순이익율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833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26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매출액영업이익율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833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44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총자산순이익율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833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48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23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활동성비율(회)</w:t>
            </w: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62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총자산회전율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833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9.0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44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자기자본회전율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633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4.30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720" w:lineRule="exact"/>
              <w:ind w:left="441" w:right="-239"/>
              <w:rPr/>
            </w:pPr>
          </w:p>
          <w:p w:rsidR="005A76FB" w:rsidRDefault="005A76FB" w:rsidP="005A76FB">
            <w:pPr>
              <w:spacing w:before="0" w:after="0" w:line="567" w:lineRule="exact"/>
              <w:ind w:left="4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수지비율(%)</w:t>
            </w: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80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총수지비율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434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62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경상수지비율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434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</w:tr>
      <w:tr w:rsidR="00AD10A2" w:rsidTr="00CB73A4">
        <w:trPr>
          <w:trHeight w:hRule="exact" w:val="726"/>
        </w:trPr>
        <w:tc>
          <w:tcPr>
            <w:tcW w:w="2876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571" w:lineRule="exact"/>
            </w:pPr>
          </w:p>
        </w:tc>
        <w:tc>
          <w:tcPr>
            <w:tcW w:w="3394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571" w:lineRule="exact"/>
              <w:ind w:left="62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6.460701"/>
                <w:position w:val="0"/>
                <w:color w:val="000000"/>
                <w:w w:val="100"/>
                <w:noProof w:val="true"/>
                <w:spacing w:val="0"/>
              </w:rPr>
              <w:t>영업수지비율</w:t>
            </w:r>
          </w:p>
        </w:tc>
        <w:tc>
          <w:tcPr>
            <w:tcW w:w="2370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71" w:lineRule="exact"/>
              <w:ind w:left="1434" w:right="-239"/>
              <w:rPr/>
            </w:pPr>
            <w:r>
              <w:rPr>
                <w:rFonts w:ascii="MalgunGothic" w:hAnsi="MalgunGothic" w:cs="MalgunGothic"/>
                <w:u w:val="none"/>
                <w:sz w:val="36.460701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9" type="#_x0000_t202" style="position:absolute;left:0;text-align:left;margin-left:175.921pt;margin-top:69.2568pt;width:263.22644pt;height:32.901550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558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56.358955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주요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56.3589554"/>
                      <w:color w:val="000000"/>
                      <w:noProof w:val="true"/>
                      <w:spacing w:val="0"/>
                      <w:w w:val="154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56.358955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경영분석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56.3589554"/>
                      <w:color w:val="000000"/>
                      <w:noProof w:val="true"/>
                      <w:spacing w:val="0"/>
                      <w:w w:val="154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56.358955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지표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618" w:lineRule="exact"/>
        <w:ind w:left="1878" w:firstLine="0"/>
        <w:jc w:val="left"/>
        <w:rPr/>
      </w:pPr>
    </w:p>
    <w:sectPr w:rsidR="00087C8E" w:rsidRPr="004F20E7" w:rsidSect="000D1471">
      <w:type w:val="continuous"/>
      <w:pgSz w:w="11900" w:h="16821"/>
      <w:pgMar w:top="1325" w:right="1280" w:bottom="1085" w:left="164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